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0A9C6A97" w:rsidR="007648B6" w:rsidRPr="004C0845" w:rsidRDefault="00CC1ED4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603E467A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40270E">
              <w:rPr>
                <w:rFonts w:ascii="Times New Roman" w:hAnsi="Times New Roman" w:cs="Times New Roman"/>
                <w:b/>
                <w:lang w:val="sk-SK"/>
              </w:rPr>
              <w:t xml:space="preserve">Ústavnoprávna ochrana ľudských práv </w:t>
            </w:r>
            <w:r w:rsidR="00E93E81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1E8ECD3A" w:rsidR="00110D12" w:rsidRDefault="00110D1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3 hodín prednášok + 2 hodiny seminár / týždenne, v rozsahu 50 hodín za semester </w:t>
            </w:r>
          </w:p>
          <w:p w14:paraId="7441064F" w14:textId="068EDAB8" w:rsidR="000D7EAD" w:rsidRPr="00110D12" w:rsidRDefault="00110D12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prezenčná metóda vzdelávacej činnosti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7783BA2F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9450FF">
              <w:rPr>
                <w:lang w:val="sk-SK"/>
              </w:rPr>
              <w:t>3</w:t>
            </w:r>
            <w:r w:rsidR="00022D16">
              <w:rPr>
                <w:lang w:val="sk-SK"/>
              </w:rPr>
              <w:t xml:space="preserve">. </w:t>
            </w:r>
            <w:r w:rsidR="005257FF">
              <w:rPr>
                <w:lang w:val="sk-SK"/>
              </w:rPr>
              <w:t xml:space="preserve">– 4. </w:t>
            </w:r>
            <w:r w:rsidR="00022D16">
              <w:rPr>
                <w:lang w:val="sk-SK"/>
              </w:rPr>
              <w:t xml:space="preserve">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78923F27" w:rsidR="00F43880" w:rsidRDefault="00274423" w:rsidP="00274423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274423">
              <w:rPr>
                <w:rFonts w:ascii="Times New Roman" w:hAnsi="Times New Roman" w:cs="Times New Roman"/>
                <w:lang w:val="sk-SK"/>
              </w:rPr>
              <w:t>Analýza rozhodovacej činnosti na národnej a nadnárodnej úrovni pri zabezpečení pozitívneho záväzku v oblasi konkrétneho základného práva alebo skupiny práv, v rozsahu 30-40 normostrán</w:t>
            </w:r>
            <w:r w:rsidR="008B2ACD" w:rsidRPr="00274423">
              <w:rPr>
                <w:rFonts w:ascii="Times New Roman" w:hAnsi="Times New Roman" w:cs="Times New Roman"/>
                <w:lang w:val="sk-SK"/>
              </w:rPr>
              <w:t xml:space="preserve">. Jej cieľom je prezentovať </w:t>
            </w:r>
            <w:r w:rsidRPr="00274423">
              <w:rPr>
                <w:rFonts w:ascii="Times New Roman" w:hAnsi="Times New Roman" w:cs="Times New Roman"/>
                <w:lang w:val="sk-SK"/>
              </w:rPr>
              <w:t xml:space="preserve">praktické </w:t>
            </w:r>
            <w:r w:rsidR="008B2ACD" w:rsidRPr="00274423">
              <w:rPr>
                <w:rFonts w:ascii="Times New Roman" w:hAnsi="Times New Roman" w:cs="Times New Roman"/>
                <w:lang w:val="sk-SK"/>
              </w:rPr>
              <w:t xml:space="preserve">znalosti </w:t>
            </w:r>
            <w:r w:rsidRPr="00274423">
              <w:rPr>
                <w:rFonts w:ascii="Times New Roman" w:hAnsi="Times New Roman" w:cs="Times New Roman"/>
                <w:lang w:val="sk-SK"/>
              </w:rPr>
              <w:t>a schopnosť analyzovať rozhodovaciu činnosť národných a nadnárodných súdov pri vyhodnotení pozitívneho záväzku SR v oblasti ochrany ľudských práv a základných slobôd</w:t>
            </w:r>
            <w:r w:rsidR="008B2ACD" w:rsidRPr="00274423">
              <w:rPr>
                <w:rFonts w:ascii="Times New Roman" w:hAnsi="Times New Roman" w:cs="Times New Roman"/>
                <w:lang w:val="sk-SK"/>
              </w:rPr>
              <w:t>.</w:t>
            </w:r>
            <w:r w:rsidR="008B2ACD">
              <w:rPr>
                <w:rFonts w:ascii="Times New Roman" w:hAnsi="Times New Roman" w:cs="Times New Roman"/>
                <w:lang w:val="sk-SK"/>
              </w:rPr>
              <w:t xml:space="preserve"> Predstavuje 10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0% hodnotenia predmetu. </w:t>
            </w:r>
          </w:p>
          <w:p w14:paraId="1C581B9A" w14:textId="27C812BE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40D1AA0" w14:textId="77777777" w:rsidR="000D7EAD" w:rsidRDefault="00C4006A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="005D5C5C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4AEF2805" w14:textId="77777777" w:rsidR="00722971" w:rsidRDefault="00722971" w:rsidP="00722971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 w:rsidRPr="00722971">
              <w:rPr>
                <w:rFonts w:ascii="Times New Roman" w:hAnsi="Times New Roman" w:cs="Times New Roman"/>
                <w:bCs/>
                <w:lang w:val="sk-SK"/>
              </w:rPr>
              <w:t xml:space="preserve">Cieľom predmetu je analyzovať systém ochrany ľudských práv v SR z ústavnoprávneho hľadiska, aplikačnú prax slovenských súdov, najmä Ústavného súdu SR. V súvislosti s postavením SR v medzinárodnom prostredí je predmet zameraný aj na existujúcu činnosť regionálnych a medzinárodných univerzálnych organizácií, ktorých je SR členom, resp. kde je signatárom medzinárodných dohovorov. Aplikačná prax rozhodovacích orgánov a plnenie pozitívneho záväzku je samostatnou časťou predmetu.  </w:t>
            </w:r>
          </w:p>
          <w:p w14:paraId="3D725854" w14:textId="4BA471BA" w:rsidR="006912AF" w:rsidRPr="00722971" w:rsidRDefault="00722971" w:rsidP="005D5C5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>
              <w:rPr>
                <w:rFonts w:ascii="Times New Roman" w:hAnsi="Times New Roman" w:cs="Times New Roman"/>
                <w:bCs/>
                <w:lang w:val="sk-SK"/>
              </w:rPr>
              <w:t xml:space="preserve">Absolvent predmetu bude schopný vyhodnotiť plnenie pozitívneho záväzku SR v oblasti ľudských práv, bude poznať legislatívnu úpravu na národnej úrovni a zodpovedajúci rozhodovaciu činnosť národných i medzinárodných súdov a tak bude schopný ju analyzovať, ale aj aplikovať, hodnotiť a následne robiť závery de lege ferenda. 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2B8ABF15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>1. Ústavné garancie základných práv a slobôd</w:t>
            </w:r>
          </w:p>
          <w:p w14:paraId="04D15223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>2. Pozitívny záväzok pri ochrane ľudských práv a základných slobôd</w:t>
            </w:r>
          </w:p>
          <w:p w14:paraId="6D48C375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>3. Rozhodovacie orgány ochrany práva – národná úroveň</w:t>
            </w:r>
          </w:p>
          <w:p w14:paraId="1B7F48EE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 xml:space="preserve">4. Rozhodovacie orgány ochrany práva – regionálna úroveň: Rada Európy, Európska únia, Organizácia pre bezpečnosť a spoluprácu v Európe </w:t>
            </w:r>
          </w:p>
          <w:p w14:paraId="7D1D9BD0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>5. Rozhodovacie orgány ochrany práva – univerzálna úroveň: Organizácia spojených národov / Výbor pre ľudské práva</w:t>
            </w:r>
          </w:p>
          <w:p w14:paraId="73EF7418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 xml:space="preserve">6. Subsidiarita ústavnej ochrany ľudských práv a aplikačná prax (práva detí, práva žien, práva </w:t>
            </w:r>
            <w:r w:rsidRPr="00722971">
              <w:rPr>
                <w:bCs/>
                <w:lang w:val="sk-SK"/>
              </w:rPr>
              <w:lastRenderedPageBreak/>
              <w:t>menšín)</w:t>
            </w:r>
          </w:p>
          <w:p w14:paraId="4445AE89" w14:textId="77777777" w:rsidR="00722971" w:rsidRPr="00722971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 xml:space="preserve">7. Zodpovednosť SR za ochranu ľudských práv a judikatúra Ústavného súdu SR </w:t>
            </w:r>
          </w:p>
          <w:p w14:paraId="5E80EB56" w14:textId="693A1B25" w:rsidR="00C4006A" w:rsidRPr="00FC3398" w:rsidRDefault="00722971" w:rsidP="00722971">
            <w:pPr>
              <w:rPr>
                <w:bCs/>
                <w:lang w:val="sk-SK"/>
              </w:rPr>
            </w:pPr>
            <w:r w:rsidRPr="00722971">
              <w:rPr>
                <w:bCs/>
                <w:lang w:val="sk-SK"/>
              </w:rPr>
              <w:t>8. Dopady medzinárodno-právnych dohovor</w:t>
            </w:r>
            <w:r w:rsidR="004437D7">
              <w:rPr>
                <w:bCs/>
                <w:lang w:val="sk-SK"/>
              </w:rPr>
              <w:t>ov</w:t>
            </w:r>
            <w:r w:rsidRPr="00722971">
              <w:rPr>
                <w:bCs/>
                <w:lang w:val="sk-SK"/>
              </w:rPr>
              <w:t>, stanovísk a rozhodnutí medzinárodných súdnych a kvázi-súdnych orgánov na tvorbu legislatívy v oblasti ľudských práv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3AB6F795" w14:textId="5317D2A6" w:rsidR="004437D7" w:rsidRP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>Fridrich, B. a kol.: Ústavné garancie ľudských práv. Bratislava: PraF UK, 2013</w:t>
            </w:r>
          </w:p>
          <w:p w14:paraId="1844E9B8" w14:textId="13F8676B" w:rsidR="004437D7" w:rsidRP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 xml:space="preserve">Fridrich, B. a kol.: Ochrana ľudských práv v EÚ. Bratislava: FSEV, 2008 </w:t>
            </w:r>
          </w:p>
          <w:p w14:paraId="26C70279" w14:textId="2321B788" w:rsidR="004437D7" w:rsidRP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>Strážnická, V. a kol.: Medzinárodná a európska ochrana ľudských práv. Bratislava: Eurokódex, 2013</w:t>
            </w:r>
          </w:p>
          <w:p w14:paraId="3BB6B280" w14:textId="660B913D" w:rsid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>Svák, J.: Ochrana ľudských práv (v troch zväzkoch). Bratislava: Eurokódex, 2011</w:t>
            </w:r>
          </w:p>
          <w:p w14:paraId="2CF80566" w14:textId="6839EA87" w:rsidR="00C4006A" w:rsidRPr="004437D7" w:rsidRDefault="004437D7" w:rsidP="005D5C5C">
            <w:pPr>
              <w:rPr>
                <w:bCs/>
                <w:iCs/>
                <w:lang w:val="sk-SK"/>
              </w:rPr>
            </w:pPr>
            <w:r>
              <w:rPr>
                <w:bCs/>
                <w:iCs/>
                <w:lang w:val="sk-SK"/>
              </w:rPr>
              <w:t>Donnelly, J.: Universal human rights in theory and practice. NY: Cornell University Press, 2013</w:t>
            </w:r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4ADEF42" w:rsidR="00C4006A" w:rsidRPr="004C0845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a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anglický jazyk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EF0762A" w14:textId="2C548BEA" w:rsidR="00C4006A" w:rsidRPr="00022D16" w:rsidRDefault="00F43880" w:rsidP="004C0845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Doc. JUDr. Branislav Fridrich, PhD.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22D16"/>
    <w:rsid w:val="000D7EAD"/>
    <w:rsid w:val="00110D12"/>
    <w:rsid w:val="00274423"/>
    <w:rsid w:val="00380ECF"/>
    <w:rsid w:val="0040270E"/>
    <w:rsid w:val="004437D7"/>
    <w:rsid w:val="004C0845"/>
    <w:rsid w:val="005257FF"/>
    <w:rsid w:val="005D5C5C"/>
    <w:rsid w:val="006912AF"/>
    <w:rsid w:val="00722971"/>
    <w:rsid w:val="007648B6"/>
    <w:rsid w:val="008B2ACD"/>
    <w:rsid w:val="009450FF"/>
    <w:rsid w:val="00A34B8F"/>
    <w:rsid w:val="00C4006A"/>
    <w:rsid w:val="00CC1ED4"/>
    <w:rsid w:val="00E93E81"/>
    <w:rsid w:val="00F43880"/>
    <w:rsid w:val="00F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dcterms:created xsi:type="dcterms:W3CDTF">2014-01-19T19:31:00Z</dcterms:created>
  <dcterms:modified xsi:type="dcterms:W3CDTF">2014-02-07T09:05:00Z</dcterms:modified>
</cp:coreProperties>
</file>