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408267C0" w:rsidR="007648B6" w:rsidRPr="004C0845" w:rsidRDefault="00E6181D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55C32E5E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205F8A">
              <w:rPr>
                <w:rFonts w:ascii="Times New Roman" w:hAnsi="Times New Roman" w:cs="Times New Roman"/>
                <w:b/>
                <w:lang w:val="sk-SK"/>
              </w:rPr>
              <w:t>Právo informačných technológií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7CA7D6DA" w:rsidR="000D7EAD" w:rsidRPr="00110D12" w:rsidRDefault="00205F8A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kombinovaná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 metóda vzdelávacej činnosti </w:t>
            </w:r>
            <w:r>
              <w:rPr>
                <w:rFonts w:ascii="Times New Roman" w:hAnsi="Times New Roman" w:cs="Times New Roman"/>
                <w:lang w:val="sk-SK"/>
              </w:rPr>
              <w:t xml:space="preserve">(prezenčná + dištančná)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51D67D4B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9450FF">
              <w:rPr>
                <w:lang w:val="sk-SK"/>
              </w:rPr>
              <w:t>3</w:t>
            </w:r>
            <w:r w:rsidR="00022D16">
              <w:rPr>
                <w:lang w:val="sk-SK"/>
              </w:rPr>
              <w:t>.</w:t>
            </w:r>
            <w:r w:rsidR="0036472A">
              <w:rPr>
                <w:lang w:val="sk-SK"/>
              </w:rPr>
              <w:t>- 4.</w:t>
            </w:r>
            <w:r w:rsidR="00022D16">
              <w:rPr>
                <w:lang w:val="sk-SK"/>
              </w:rPr>
              <w:t xml:space="preserve"> 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1B310A2E" w:rsidR="00F43880" w:rsidRDefault="002824FA" w:rsidP="00274423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Záverečná praktická skúška na modelovom prípade. </w:t>
            </w:r>
            <w:r w:rsidR="008B2ACD">
              <w:rPr>
                <w:rFonts w:ascii="Times New Roman" w:hAnsi="Times New Roman" w:cs="Times New Roman"/>
                <w:lang w:val="sk-SK"/>
              </w:rPr>
              <w:t>Predstavuje 10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2B009AE4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73D1D43" w14:textId="17ED6AD1" w:rsidR="00700FAF" w:rsidRDefault="00700FAF" w:rsidP="00700FAF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 w:rsidRPr="00700FAF">
              <w:rPr>
                <w:rFonts w:ascii="Times New Roman" w:hAnsi="Times New Roman" w:cs="Times New Roman"/>
                <w:bCs/>
                <w:lang w:val="sk-SK"/>
              </w:rPr>
              <w:t>Cieľom predmetu je analýza právnych dokumentov vo vzťahu k novým informačným technológiám s akcentom na právo duševného vlastníctva, porovnanie existujúcej právnej úpravy s návrhom riešení de lege ferenda, komparácia národnej judikatúry s judikatúrou Súdneho dvora  EÚ a to z pohľadu garantovania ústavných práv j</w:t>
            </w:r>
            <w:r>
              <w:rPr>
                <w:rFonts w:ascii="Times New Roman" w:hAnsi="Times New Roman" w:cs="Times New Roman"/>
                <w:bCs/>
                <w:lang w:val="sk-SK"/>
              </w:rPr>
              <w:t>ednotlivých subjektov v</w:t>
            </w:r>
            <w:r w:rsidR="00001758">
              <w:rPr>
                <w:rFonts w:ascii="Times New Roman" w:hAnsi="Times New Roman" w:cs="Times New Roman"/>
                <w:bCs/>
                <w:lang w:val="sk-SK"/>
              </w:rPr>
              <w:t> </w:t>
            </w:r>
            <w:r>
              <w:rPr>
                <w:rFonts w:ascii="Times New Roman" w:hAnsi="Times New Roman" w:cs="Times New Roman"/>
                <w:bCs/>
                <w:lang w:val="sk-SK"/>
              </w:rPr>
              <w:t>systéme</w:t>
            </w:r>
            <w:r w:rsidR="00001758">
              <w:rPr>
                <w:rFonts w:ascii="Times New Roman" w:hAnsi="Times New Roman" w:cs="Times New Roman"/>
                <w:bCs/>
                <w:lang w:val="sk-SK"/>
              </w:rPr>
              <w:t xml:space="preserve"> práva. </w:t>
            </w:r>
          </w:p>
          <w:p w14:paraId="3D725854" w14:textId="667330A7" w:rsidR="006912AF" w:rsidRPr="00722971" w:rsidRDefault="00001758" w:rsidP="0036016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 xml:space="preserve">Absolvent nabodudne znalosti z oblasti pôsobenia inforamčných technológií v súčasnom právnom systéme, a to tak z hľadiska ústavného, ako aj správneho a občianskeho práva. </w:t>
            </w:r>
            <w:r w:rsidR="00F90029">
              <w:rPr>
                <w:rFonts w:ascii="Times New Roman" w:hAnsi="Times New Roman" w:cs="Times New Roman"/>
                <w:bCs/>
                <w:lang w:val="sk-SK"/>
              </w:rPr>
              <w:t xml:space="preserve">Budú základom pre pochopenie a aplikáciu napr. systému e-governance do rôznych oblastí verejnej správy, štátnej správy a samosprávy, ako aj z hľadiska ochrany práv v systéme súdnej moci.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2CF60E60" w14:textId="77777777" w:rsidR="00700FAF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 xml:space="preserve">Analýza problematiky počítačového programu ako predmetu autorského práva, zákonné obmedzenia autorských práv na počítačové programy, dekompilácia počítačových programov, autorské práva v informačnej spoločnosti. </w:t>
            </w:r>
          </w:p>
          <w:p w14:paraId="769236FD" w14:textId="77777777" w:rsidR="00700FAF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 xml:space="preserve">Procesno-právne aspekty v oblasti doménových mien, riešenie sporov o doménové mená v súdnom konaní, výkon správy doménových mien. </w:t>
            </w:r>
          </w:p>
          <w:p w14:paraId="62547800" w14:textId="77777777" w:rsidR="00700FAF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 xml:space="preserve">Medzinárodné a európske iniciatívy v elektronickom obchode, miesto uskutočnenia e-obchodu, výber práva v sporových veciach. </w:t>
            </w:r>
          </w:p>
          <w:p w14:paraId="5D8C8E03" w14:textId="77777777" w:rsidR="00700FAF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 xml:space="preserve">Kryptografia, elektronický podpis, právne účinky elektronického podpisu. </w:t>
            </w:r>
          </w:p>
          <w:p w14:paraId="7430E626" w14:textId="77777777" w:rsidR="00700FAF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 xml:space="preserve">Softvérové pirátstvo, počítačová kriminalita, cybercrime, bezpečnosť informačných systémov, európska iniciatíva. </w:t>
            </w:r>
          </w:p>
          <w:p w14:paraId="5E80EB56" w14:textId="70073A63" w:rsidR="00C4006A" w:rsidRPr="00700FAF" w:rsidRDefault="00700FAF" w:rsidP="00700FAF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700FAF">
              <w:rPr>
                <w:bCs/>
                <w:lang w:val="sk-SK"/>
              </w:rPr>
              <w:t>Ústavno-právna, európska a medzinárodná ochrana osobných údajov. Ochrana osobných údajov v elektronickom komunikačnom sektore.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3CF25E03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 xml:space="preserve">Lloyd, Ian J.: Information technology Law.Oxford University Press. Ashford Colour Press </w:t>
            </w:r>
            <w:r w:rsidRPr="00261C87">
              <w:rPr>
                <w:bCs/>
                <w:iCs/>
                <w:lang w:val="sk-SK"/>
              </w:rPr>
              <w:lastRenderedPageBreak/>
              <w:t>Ltd, Gosport Hampshire, 2008</w:t>
            </w:r>
          </w:p>
          <w:p w14:paraId="390D67D7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>Švidroň a kol.: Právo duševného vlastníctva v informačnej spoločnosti a v systéme práva. Veda, Vydavateľstvo SAV Bratislava 2009</w:t>
            </w:r>
          </w:p>
          <w:p w14:paraId="52557946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>Disman M.: Právní úprava domény „EU“. Linde, Praha 2011.</w:t>
            </w:r>
          </w:p>
          <w:p w14:paraId="341A47ED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>Seville, C.: EU Intellectual Property Law and Policy. Cheltenham: Edward Elgar Publishing Limited, 2009.</w:t>
            </w:r>
          </w:p>
          <w:p w14:paraId="6F460C3D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 xml:space="preserve">Smith, G.: Internet Law and RFegulation. Rourth edition. London:Sweet </w:t>
            </w:r>
            <w:r w:rsidRPr="00261C87">
              <w:rPr>
                <w:bCs/>
                <w:iCs/>
                <w:lang w:val="en-US"/>
              </w:rPr>
              <w:t xml:space="preserve">&amp; </w:t>
            </w:r>
            <w:r w:rsidRPr="00261C87">
              <w:rPr>
                <w:bCs/>
                <w:iCs/>
                <w:lang w:val="sk-SK"/>
              </w:rPr>
              <w:t>Maxwell, 2007.</w:t>
            </w:r>
          </w:p>
          <w:p w14:paraId="6D506264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>Mason, S.: International Electronic Evidence, British Institute of International and Comparative Law (BIICL), London 2008</w:t>
            </w:r>
          </w:p>
          <w:p w14:paraId="3FDB7543" w14:textId="77777777" w:rsidR="00261C87" w:rsidRPr="00261C8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 xml:space="preserve">Judikatúra Európskej únie </w:t>
            </w:r>
            <w:hyperlink r:id="rId7" w:history="1">
              <w:r w:rsidRPr="00261C87">
                <w:rPr>
                  <w:rStyle w:val="Hypertextovprepojenie"/>
                  <w:bCs/>
                  <w:iCs/>
                  <w:lang w:val="sk-SK"/>
                </w:rPr>
                <w:t>http://eur-lex.europa.eu/JURISIndex.do?ihmlang=sk</w:t>
              </w:r>
            </w:hyperlink>
            <w:r w:rsidRPr="00261C87">
              <w:rPr>
                <w:bCs/>
                <w:iCs/>
                <w:lang w:val="sk-SK"/>
              </w:rPr>
              <w:t xml:space="preserve"> </w:t>
            </w:r>
          </w:p>
          <w:p w14:paraId="2CF80566" w14:textId="612E6A92" w:rsidR="00C4006A" w:rsidRPr="004437D7" w:rsidRDefault="00261C87" w:rsidP="00261C87">
            <w:pPr>
              <w:rPr>
                <w:bCs/>
                <w:iCs/>
                <w:lang w:val="sk-SK"/>
              </w:rPr>
            </w:pPr>
            <w:r w:rsidRPr="00261C87">
              <w:rPr>
                <w:bCs/>
                <w:iCs/>
                <w:lang w:val="sk-SK"/>
              </w:rPr>
              <w:t xml:space="preserve">Judikáty, rozhodnutia súdov SR </w:t>
            </w:r>
            <w:hyperlink r:id="rId8" w:history="1">
              <w:r w:rsidRPr="00261C87">
                <w:rPr>
                  <w:rStyle w:val="Hypertextovprepojenie"/>
                  <w:bCs/>
                  <w:iCs/>
                  <w:lang w:val="sk-SK"/>
                </w:rPr>
                <w:t>http://www.epi.sk/Rozhodnutia-sudov/Default.aspx</w:t>
              </w:r>
            </w:hyperlink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4ADEF42" w:rsidR="00C4006A" w:rsidRPr="004C0845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a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anglický jazyk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EF0762A" w14:textId="412D6758" w:rsidR="00C4006A" w:rsidRPr="00022D16" w:rsidRDefault="00F43880" w:rsidP="00261C87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Doc. JUDr. </w:t>
            </w:r>
            <w:r w:rsidR="00261C87">
              <w:rPr>
                <w:rFonts w:ascii="Times New Roman" w:hAnsi="Times New Roman" w:cs="Times New Roman"/>
                <w:lang w:val="sk-SK"/>
              </w:rPr>
              <w:t>Daniela Gregušová, CSc</w:t>
            </w:r>
            <w:r>
              <w:rPr>
                <w:rFonts w:ascii="Times New Roman" w:hAnsi="Times New Roman" w:cs="Times New Roman"/>
                <w:lang w:val="sk-SK"/>
              </w:rPr>
              <w:t xml:space="preserve">.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47F49"/>
    <w:multiLevelType w:val="hybridMultilevel"/>
    <w:tmpl w:val="38DEF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01758"/>
    <w:rsid w:val="00022D16"/>
    <w:rsid w:val="00070D37"/>
    <w:rsid w:val="000D7EAD"/>
    <w:rsid w:val="00110D12"/>
    <w:rsid w:val="00205F8A"/>
    <w:rsid w:val="00261C87"/>
    <w:rsid w:val="00274423"/>
    <w:rsid w:val="002824FA"/>
    <w:rsid w:val="0036016C"/>
    <w:rsid w:val="0036472A"/>
    <w:rsid w:val="00380ECF"/>
    <w:rsid w:val="0040270E"/>
    <w:rsid w:val="004437D7"/>
    <w:rsid w:val="004C0845"/>
    <w:rsid w:val="005D5C5C"/>
    <w:rsid w:val="006912AF"/>
    <w:rsid w:val="00700FAF"/>
    <w:rsid w:val="00722971"/>
    <w:rsid w:val="007648B6"/>
    <w:rsid w:val="00814EC0"/>
    <w:rsid w:val="008B2ACD"/>
    <w:rsid w:val="009450FF"/>
    <w:rsid w:val="00A34B8F"/>
    <w:rsid w:val="00AE3711"/>
    <w:rsid w:val="00BA0E4D"/>
    <w:rsid w:val="00C4006A"/>
    <w:rsid w:val="00E6181D"/>
    <w:rsid w:val="00E93E81"/>
    <w:rsid w:val="00F43880"/>
    <w:rsid w:val="00F90029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unhideWhenUsed/>
    <w:rsid w:val="00261C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unhideWhenUsed/>
    <w:rsid w:val="00261C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.sk/Rozhodnutia-sudov/Default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eur-lex.europa.eu/JURISIndex.do?ihmlang=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cp:lastPrinted>2014-02-07T09:05:00Z</cp:lastPrinted>
  <dcterms:created xsi:type="dcterms:W3CDTF">2014-01-19T20:13:00Z</dcterms:created>
  <dcterms:modified xsi:type="dcterms:W3CDTF">2014-02-07T09:05:00Z</dcterms:modified>
</cp:coreProperties>
</file>